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  <w:jc w:val="center"/>
      </w:pPr>
      <w:r>
        <w:rPr>
          <w:rFonts w:ascii="Calibri" w:cs="Calibri" w:eastAsia="Calibri" w:hAnsi="Calibri"/>
          <w:b/>
          <w:bCs/>
          <w:color w:val="2F5D62"/>
          <w:sz w:val="36"/>
          <w:szCs w:val="36"/>
        </w:rPr>
        <w:t xml:space="preserve">KONTRAKT MENTORINGOWY</w:t>
      </w:r>
    </w:p>
    <w:p>
      <w:pPr>
        <w:spacing w:after="240" w:before="0" w:line="276"/>
        <w:jc w:val="center"/>
      </w:pPr>
      <w:r>
        <w:rPr>
          <w:rFonts w:ascii="Calibri" w:cs="Calibri" w:eastAsia="Calibri" w:hAnsi="Calibri"/>
          <w:i/>
          <w:iCs/>
          <w:color w:val="6B6B6B"/>
          <w:sz w:val="18"/>
          <w:szCs w:val="18"/>
        </w:rPr>
        <w:t xml:space="preserve">Wzór do edycji – zastąp przykładowe zapisy własnymi ustaleniami</w:t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Mentor: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[imię i nazwisko, stanowisko]</w:t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Mentee: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[imię i nazwisko, stanowisko]</w:t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Data zawarcia kontraktu: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[dd.mm.rrrr]</w:t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Okres współpracy: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6 miesięcy – od [dd.mm.rrrr] do [dd.mm.rrrr]</w:t>
      </w:r>
    </w:p>
    <w:p>
      <w:pPr>
        <w:keepNext/>
        <w:pBdr>
          <w:bottom w:val="single" w:color="2F5D62" w:sz="6" w:space="3"/>
        </w:pBdr>
        <w:spacing w:after="100" w:before="240"/>
      </w:pPr>
      <w:r>
        <w:rPr>
          <w:rFonts w:ascii="Calibri" w:cs="Calibri" w:eastAsia="Calibri" w:hAnsi="Calibri"/>
          <w:b/>
          <w:bCs/>
          <w:color w:val="2F5D62"/>
          <w:sz w:val="23"/>
          <w:szCs w:val="23"/>
        </w:rPr>
        <w:t xml:space="preserve">§ 1. </w:t>
      </w:r>
      <w:r>
        <w:rPr>
          <w:rFonts w:ascii="Calibri" w:cs="Calibri" w:eastAsia="Calibri" w:hAnsi="Calibri"/>
          <w:b/>
          <w:bCs/>
          <w:color w:val="2F5D62"/>
          <w:sz w:val="23"/>
          <w:szCs w:val="23"/>
        </w:rPr>
        <w:t xml:space="preserve">Zakres współpracy</w:t>
      </w:r>
    </w:p>
    <w:p>
      <w:pPr>
        <w:spacing w:after="80" w:before="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Mentoring obejmuje przygotowanie mentee do roli kierownika zespołu, w szczególności w obszarach: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delegowania zadań i odpowiedzialności,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prowadzenia rozmów rozwojowych 1:1 z członkami zespołu,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planowania i organizacji pracy zespołu,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przekazywania informacji zwrotnej i rozwiązywania konfliktów.</w:t>
      </w:r>
    </w:p>
    <w:p>
      <w:pPr>
        <w:spacing w:after="80" w:before="6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Tematy spoza tego zakresu omawiamy tylko wtedy, gdy obie strony uznają je za istotne dla celu współpracy.</w:t>
      </w:r>
    </w:p>
    <w:p>
      <w:pPr>
        <w:keepNext/>
        <w:pBdr>
          <w:bottom w:val="single" w:color="2F5D62" w:sz="6" w:space="3"/>
        </w:pBdr>
        <w:spacing w:after="100" w:before="240"/>
      </w:pPr>
      <w:r>
        <w:rPr>
          <w:rFonts w:ascii="Calibri" w:cs="Calibri" w:eastAsia="Calibri" w:hAnsi="Calibri"/>
          <w:b/>
          <w:bCs/>
          <w:color w:val="2F5D62"/>
          <w:sz w:val="23"/>
          <w:szCs w:val="23"/>
        </w:rPr>
        <w:t xml:space="preserve">§ 2. </w:t>
      </w:r>
      <w:r>
        <w:rPr>
          <w:rFonts w:ascii="Calibri" w:cs="Calibri" w:eastAsia="Calibri" w:hAnsi="Calibri"/>
          <w:b/>
          <w:bCs/>
          <w:color w:val="2F5D62"/>
          <w:sz w:val="23"/>
          <w:szCs w:val="23"/>
        </w:rPr>
        <w:t xml:space="preserve">Cele mentoringu</w:t>
      </w:r>
    </w:p>
    <w:p>
      <w:pPr>
        <w:spacing w:after="80" w:before="0" w:line="276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Cel główny: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przygotowanie mentee do objęcia funkcji kierownika zespołu w ciągu 6 miesięcy.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Cele szczegółowe (SMART):</w:t>
      </w:r>
    </w:p>
    <w:p>
      <w:pPr>
        <w:pStyle w:val="ListParagraph"/>
        <w:numPr>
          <w:ilvl w:val="0"/>
          <w:numId w:val="3"/>
        </w:numPr>
        <w:spacing w:after="5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do końca 2. miesiąca mentee przeprowadzi 5 rozmów rozwojowych 1:1 z członkami zespołu i omówi ich przebieg z mentorem,</w:t>
      </w:r>
    </w:p>
    <w:p>
      <w:pPr>
        <w:pStyle w:val="ListParagraph"/>
        <w:numPr>
          <w:ilvl w:val="0"/>
          <w:numId w:val="3"/>
        </w:numPr>
        <w:spacing w:after="5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do końca 4. miesiąca mentee opracuje i wdroży plan delegowania 3 obszarów odpowiedzialności,</w:t>
      </w:r>
    </w:p>
    <w:p>
      <w:pPr>
        <w:pStyle w:val="ListParagraph"/>
        <w:numPr>
          <w:ilvl w:val="0"/>
          <w:numId w:val="3"/>
        </w:numPr>
        <w:spacing w:after="5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do końca 6. miesiąca mentee samodzielnie poprowadzi co najmniej 2 spotkania zespołu i zbierze od uczestników informację zwrotną.</w:t>
      </w:r>
    </w:p>
    <w:p>
      <w:pPr>
        <w:spacing w:after="80" w:before="60" w:line="276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Kryteria sukcesu: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realizacja celów szczegółowych w ustalonych terminach oraz ocena postępów dokonana wspólnie przez mentora i mentee podczas przeglądów (§ 8).</w:t>
      </w:r>
    </w:p>
    <w:p>
      <w:pPr>
        <w:keepNext/>
        <w:pBdr>
          <w:bottom w:val="single" w:color="2F5D62" w:sz="6" w:space="3"/>
        </w:pBdr>
        <w:spacing w:after="100" w:before="240"/>
      </w:pPr>
      <w:r>
        <w:rPr>
          <w:rFonts w:ascii="Calibri" w:cs="Calibri" w:eastAsia="Calibri" w:hAnsi="Calibri"/>
          <w:b/>
          <w:bCs/>
          <w:color w:val="2F5D62"/>
          <w:sz w:val="23"/>
          <w:szCs w:val="23"/>
        </w:rPr>
        <w:t xml:space="preserve">§ 3. </w:t>
      </w:r>
      <w:r>
        <w:rPr>
          <w:rFonts w:ascii="Calibri" w:cs="Calibri" w:eastAsia="Calibri" w:hAnsi="Calibri"/>
          <w:b/>
          <w:bCs/>
          <w:color w:val="2F5D62"/>
          <w:sz w:val="23"/>
          <w:szCs w:val="23"/>
        </w:rPr>
        <w:t xml:space="preserve">Organizacja spotkań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Spotykamy się co dwa tygodnie, online, po 60 minut – łącznie 12 sesji.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Terminy kolejnych sesji ustalamy na koniec każdego spotkania.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Sesję można odwołać najpóźniej 24 godziny przed jej rozpoczęciem. Nowy termin ustalamy w ciągu 7 dni.</w:t>
      </w:r>
    </w:p>
    <w:p>
      <w:pPr>
        <w:keepNext/>
        <w:pBdr>
          <w:bottom w:val="single" w:color="2F5D62" w:sz="6" w:space="3"/>
        </w:pBdr>
        <w:spacing w:after="100" w:before="240"/>
      </w:pPr>
      <w:r>
        <w:rPr>
          <w:rFonts w:ascii="Calibri" w:cs="Calibri" w:eastAsia="Calibri" w:hAnsi="Calibri"/>
          <w:b/>
          <w:bCs/>
          <w:color w:val="2F5D62"/>
          <w:sz w:val="23"/>
          <w:szCs w:val="23"/>
        </w:rPr>
        <w:t xml:space="preserve">§ 4. </w:t>
      </w:r>
      <w:r>
        <w:rPr>
          <w:rFonts w:ascii="Calibri" w:cs="Calibri" w:eastAsia="Calibri" w:hAnsi="Calibri"/>
          <w:b/>
          <w:bCs/>
          <w:color w:val="2F5D62"/>
          <w:sz w:val="23"/>
          <w:szCs w:val="23"/>
        </w:rPr>
        <w:t xml:space="preserve">Kontakt między sesjami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Między sesjami kontaktujemy się mailowo.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Odpowiadamy na wiadomości w ciągu 2 dni roboczych.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Między sesjami omawiamy wyłącznie sprawy organizacyjne i krótkie pytania. Tematy merytoryczne przenosimy na najbliższą sesję.</w:t>
      </w:r>
    </w:p>
    <w:p>
      <w:pPr>
        <w:keepNext/>
        <w:pBdr>
          <w:bottom w:val="single" w:color="2F5D62" w:sz="6" w:space="3"/>
        </w:pBdr>
        <w:spacing w:after="100" w:before="240"/>
      </w:pPr>
      <w:r>
        <w:rPr>
          <w:rFonts w:ascii="Calibri" w:cs="Calibri" w:eastAsia="Calibri" w:hAnsi="Calibri"/>
          <w:b/>
          <w:bCs/>
          <w:color w:val="2F5D62"/>
          <w:sz w:val="23"/>
          <w:szCs w:val="23"/>
        </w:rPr>
        <w:t xml:space="preserve">§ 5. </w:t>
      </w:r>
      <w:r>
        <w:rPr>
          <w:rFonts w:ascii="Calibri" w:cs="Calibri" w:eastAsia="Calibri" w:hAnsi="Calibri"/>
          <w:b/>
          <w:bCs/>
          <w:color w:val="2F5D62"/>
          <w:sz w:val="23"/>
          <w:szCs w:val="23"/>
        </w:rPr>
        <w:t xml:space="preserve">Obowiązki mentora</w:t>
      </w:r>
    </w:p>
    <w:p>
      <w:pPr>
        <w:spacing w:after="40" w:before="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Mentor zobowiązuje się do: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przygotowania się do sesji na podstawie agendy przesłanej przez mentee,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zadawania pytań, które pomagają mentee analizować sytuacje i szukać rozwiązań,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dzielenia się własnym doświadczeniem i przekazywania konstruktywnego feedbacku,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wspierania mentee bez podejmowania decyzji w jego imieniu.</w:t>
      </w:r>
    </w:p>
    <w:p>
      <w:pPr>
        <w:keepNext/>
        <w:pBdr>
          <w:bottom w:val="single" w:color="2F5D62" w:sz="6" w:space="3"/>
        </w:pBdr>
        <w:spacing w:after="100" w:before="240"/>
      </w:pPr>
      <w:r>
        <w:rPr>
          <w:rFonts w:ascii="Calibri" w:cs="Calibri" w:eastAsia="Calibri" w:hAnsi="Calibri"/>
          <w:b/>
          <w:bCs/>
          <w:color w:val="2F5D62"/>
          <w:sz w:val="23"/>
          <w:szCs w:val="23"/>
        </w:rPr>
        <w:t xml:space="preserve">§ 6. </w:t>
      </w:r>
      <w:r>
        <w:rPr>
          <w:rFonts w:ascii="Calibri" w:cs="Calibri" w:eastAsia="Calibri" w:hAnsi="Calibri"/>
          <w:b/>
          <w:bCs/>
          <w:color w:val="2F5D62"/>
          <w:sz w:val="23"/>
          <w:szCs w:val="23"/>
        </w:rPr>
        <w:t xml:space="preserve">Obowiązki mentee</w:t>
      </w:r>
    </w:p>
    <w:p>
      <w:pPr>
        <w:spacing w:after="40" w:before="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Mentee zobowiązuje się do: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inicjowania spotkań i przesyłania agendy najpóźniej dzień przed sesją,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aktywnego udziału w sesjach i realizacji ustalonych działań,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zapisywania po każdym spotkaniu wniosków i zadań do wykonania,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podejmowania decyzji i ponoszenia odpowiedzialności za własne wybory.</w:t>
      </w:r>
    </w:p>
    <w:p>
      <w:pPr>
        <w:keepNext/>
        <w:pBdr>
          <w:bottom w:val="single" w:color="2F5D62" w:sz="6" w:space="3"/>
        </w:pBdr>
        <w:spacing w:after="100" w:before="240"/>
      </w:pPr>
      <w:r>
        <w:rPr>
          <w:rFonts w:ascii="Calibri" w:cs="Calibri" w:eastAsia="Calibri" w:hAnsi="Calibri"/>
          <w:b/>
          <w:bCs/>
          <w:color w:val="2F5D62"/>
          <w:sz w:val="23"/>
          <w:szCs w:val="23"/>
        </w:rPr>
        <w:t xml:space="preserve">§ 7. </w:t>
      </w:r>
      <w:r>
        <w:rPr>
          <w:rFonts w:ascii="Calibri" w:cs="Calibri" w:eastAsia="Calibri" w:hAnsi="Calibri"/>
          <w:b/>
          <w:bCs/>
          <w:color w:val="2F5D62"/>
          <w:sz w:val="23"/>
          <w:szCs w:val="23"/>
        </w:rPr>
        <w:t xml:space="preserve">Zasady informacji zwrotnej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Ostatnie 5 minut każdej sesji przeznaczamy na wzajemny feedback dotyczący przebiegu spotkania.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Informacja zwrotna odnosi się do konkretnych sytuacji i zachowań, a nie do cech osoby.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Każda ze stron może zgłosić potrzebę zmiany sposobu pracy – omawiamy ją na najbliższej sesji.</w:t>
      </w:r>
    </w:p>
    <w:p>
      <w:pPr>
        <w:keepNext/>
        <w:pBdr>
          <w:bottom w:val="single" w:color="2F5D62" w:sz="6" w:space="3"/>
        </w:pBdr>
        <w:spacing w:after="100" w:before="240"/>
      </w:pPr>
      <w:r>
        <w:rPr>
          <w:rFonts w:ascii="Calibri" w:cs="Calibri" w:eastAsia="Calibri" w:hAnsi="Calibri"/>
          <w:b/>
          <w:bCs/>
          <w:color w:val="2F5D62"/>
          <w:sz w:val="23"/>
          <w:szCs w:val="23"/>
        </w:rPr>
        <w:t xml:space="preserve">§ 8. </w:t>
      </w:r>
      <w:r>
        <w:rPr>
          <w:rFonts w:ascii="Calibri" w:cs="Calibri" w:eastAsia="Calibri" w:hAnsi="Calibri"/>
          <w:b/>
          <w:bCs/>
          <w:color w:val="2F5D62"/>
          <w:sz w:val="23"/>
          <w:szCs w:val="23"/>
        </w:rPr>
        <w:t xml:space="preserve">Ewaluacja i przeglądy postępów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Zapisy kontraktu weryfikujemy w 4 momentach: przy jego zawarciu, po sprecyzowaniu celów, w połowie procesu i przy ewaluacji końcowej.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Po 3 miesiącach przeprowadzamy przegląd postępów i w razie potrzeby aktualizujemy cele.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Na zakończenie współpracy wspólnie podsumowujemy realizację celów, najważniejsze wnioski i dalsze kroki rozwoju mentee.</w:t>
      </w:r>
    </w:p>
    <w:p>
      <w:pPr>
        <w:keepNext/>
        <w:pBdr>
          <w:bottom w:val="single" w:color="2F5D62" w:sz="6" w:space="3"/>
        </w:pBdr>
        <w:spacing w:after="100" w:before="240"/>
      </w:pPr>
      <w:r>
        <w:rPr>
          <w:rFonts w:ascii="Calibri" w:cs="Calibri" w:eastAsia="Calibri" w:hAnsi="Calibri"/>
          <w:b/>
          <w:bCs/>
          <w:color w:val="2F5D62"/>
          <w:sz w:val="23"/>
          <w:szCs w:val="23"/>
        </w:rPr>
        <w:t xml:space="preserve">§ 9. </w:t>
      </w:r>
      <w:r>
        <w:rPr>
          <w:rFonts w:ascii="Calibri" w:cs="Calibri" w:eastAsia="Calibri" w:hAnsi="Calibri"/>
          <w:b/>
          <w:bCs/>
          <w:color w:val="2F5D62"/>
          <w:sz w:val="23"/>
          <w:szCs w:val="23"/>
        </w:rPr>
        <w:t xml:space="preserve">Poufność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Treść rozmów pozostaje poufna i nie jest przekazywana przełożonym mentee ani innym osobom.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Mentor może omawiać przebieg współpracy w ramach superwizji, bez podawania danych pozwalających zidentyfikować mentee.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W programie firmowym organizator otrzymuje wyłącznie informacje o terminach sesji i realizacji celów, bez treści rozmów.</w:t>
      </w:r>
    </w:p>
    <w:p>
      <w:pPr>
        <w:keepNext/>
        <w:pBdr>
          <w:bottom w:val="single" w:color="2F5D62" w:sz="6" w:space="3"/>
        </w:pBdr>
        <w:spacing w:after="100" w:before="240"/>
      </w:pPr>
      <w:r>
        <w:rPr>
          <w:rFonts w:ascii="Calibri" w:cs="Calibri" w:eastAsia="Calibri" w:hAnsi="Calibri"/>
          <w:b/>
          <w:bCs/>
          <w:color w:val="2F5D62"/>
          <w:sz w:val="23"/>
          <w:szCs w:val="23"/>
        </w:rPr>
        <w:t xml:space="preserve">§ 10. </w:t>
      </w:r>
      <w:r>
        <w:rPr>
          <w:rFonts w:ascii="Calibri" w:cs="Calibri" w:eastAsia="Calibri" w:hAnsi="Calibri"/>
          <w:b/>
          <w:bCs/>
          <w:color w:val="2F5D62"/>
          <w:sz w:val="23"/>
          <w:szCs w:val="23"/>
        </w:rPr>
        <w:t xml:space="preserve">Granice relacji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Mentoring jest relacją rozwojową. Nie zastępuje psychoterapii ani konsultingu.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Jeśli omawiany temat wykracza poza zakres mentoringu, mentor może zasugerować kontakt z odpowiednim specjalistą.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Decyzje dotyczące kariery i pracy mentee należą wyłącznie do mentee.</w:t>
      </w:r>
    </w:p>
    <w:p>
      <w:pPr>
        <w:keepNext/>
        <w:pBdr>
          <w:bottom w:val="single" w:color="2F5D62" w:sz="6" w:space="3"/>
        </w:pBdr>
        <w:spacing w:after="100" w:before="240"/>
      </w:pPr>
      <w:r>
        <w:rPr>
          <w:rFonts w:ascii="Calibri" w:cs="Calibri" w:eastAsia="Calibri" w:hAnsi="Calibri"/>
          <w:b/>
          <w:bCs/>
          <w:color w:val="2F5D62"/>
          <w:sz w:val="23"/>
          <w:szCs w:val="23"/>
        </w:rPr>
        <w:t xml:space="preserve">§ 11. </w:t>
      </w:r>
      <w:r>
        <w:rPr>
          <w:rFonts w:ascii="Calibri" w:cs="Calibri" w:eastAsia="Calibri" w:hAnsi="Calibri"/>
          <w:b/>
          <w:bCs/>
          <w:color w:val="2F5D62"/>
          <w:sz w:val="23"/>
          <w:szCs w:val="23"/>
        </w:rPr>
        <w:t xml:space="preserve">Czas trwania i zakończenie współpracy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Kontrakt obowiązuje przez okres wskazany na początku dokumentu. Może zostać przedłużony za zgodą obu stron.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Bezpieczne zakończenie (no-fault exit):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każda ze stron może zakończyć współpracę w dowolnym momencie, bez wskazywania winy. Decyzja zostanie przyjęta z szacunkiem i omówiona na spotkaniu zamykającym.</w:t>
      </w:r>
    </w:p>
    <w:p>
      <w:pPr>
        <w:pStyle w:val="ListParagraph"/>
        <w:numPr>
          <w:ilvl w:val="0"/>
          <w:numId w:val="2"/>
        </w:numPr>
        <w:spacing w:after="50" w:line="276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Współpracę zamykamy podsumowaniem osiągniętych celów i doświadczeń.</w:t>
      </w:r>
    </w:p>
    <w:p>
      <w:pPr>
        <w:keepNext/>
        <w:spacing w:after="500" w:before="280" w:line="276"/>
      </w:pPr>
      <w:r>
        <w:rPr>
          <w:rFonts w:ascii="Calibri" w:cs="Calibri" w:eastAsia="Calibri" w:hAnsi="Calibri"/>
          <w:i/>
          <w:iCs/>
          <w:color w:val="222222"/>
          <w:sz w:val="21"/>
          <w:szCs w:val="21"/>
        </w:rPr>
        <w:t xml:space="preserve">Podpisując kontrakt, potwierdzamy, że rozumiemy jego zapisy w ten sam sposób i dobrowolnie je akceptujemy.</w:t>
      </w:r>
    </w:p>
    <w:p>
      <w:pPr>
        <w:keepNext/>
        <w:tabs>
          <w:tab w:val="right" w:pos="9412"/>
        </w:tabs>
        <w:spacing w:after="4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……………………………………</w:t>
      </w:r>
      <w:r>
        <w:rPr>
          <w:rFonts w:ascii="Calibri" w:cs="Calibri" w:eastAsia="Calibri" w:hAnsi="Calibri"/>
          <w:sz w:val="21"/>
          <w:szCs w:val="21"/>
        </w:rPr>
        <w:t xml:space="preserve">	……………………………………</w:t>
      </w:r>
    </w:p>
    <w:p>
      <w:pPr>
        <w:tabs>
          <w:tab w:val="right" w:pos="9412"/>
        </w:tabs>
      </w:pPr>
      <w:r>
        <w:rPr>
          <w:rFonts w:ascii="Calibri" w:cs="Calibri" w:eastAsia="Calibri" w:hAnsi="Calibri"/>
          <w:color w:val="6B6B6B"/>
          <w:sz w:val="18"/>
          <w:szCs w:val="18"/>
        </w:rPr>
        <w:t xml:space="preserve">podpis mentora</w:t>
      </w:r>
      <w:r>
        <w:rPr>
          <w:rFonts w:ascii="Calibri" w:cs="Calibri" w:eastAsia="Calibri" w:hAnsi="Calibri"/>
          <w:color w:val="6B6B6B"/>
          <w:sz w:val="18"/>
          <w:szCs w:val="18"/>
        </w:rPr>
        <w:t xml:space="preserve">	podpis mentee</w:t>
      </w:r>
    </w:p>
    <w:sectPr>
      <w:footerReference w:type="default" r:id="rId6"/>
      <w:pgSz w:w="11906" w:h="16838" w:orient="portrait"/>
      <w:pgMar w:top="1100" w:right="1247" w:bottom="1000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6B6B"/>
        <w:sz w:val="16"/>
        <w:szCs w:val="16"/>
      </w:rPr>
      <w:t xml:space="preserve">Kontrakt mentoringowy · strona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20" w:hanging="260"/>
      </w:pPr>
      <w:rPr>
        <w:color w:val="2F5D6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Kontrakt mentoringowy – wzór</dc:title>
  <cp:lastModifiedBy>Un-named</cp:lastModifiedBy>
  <cp:revision>1</cp:revision>
  <dcterms:created xsi:type="dcterms:W3CDTF">2026-11-04T15:35:30.596Z</dcterms:created>
  <dcterms:modified xsi:type="dcterms:W3CDTF">2026-11-04T15:35:30.606Z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